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05" w:rsidRPr="004F0773" w:rsidRDefault="004B6905" w:rsidP="004B690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ИНФОРМАЦИОННАЯ ГИГИЕНА </w:t>
      </w:r>
    </w:p>
    <w:p w:rsidR="004B6905" w:rsidRPr="004F0773" w:rsidRDefault="004B6905" w:rsidP="004B690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B6905" w:rsidRPr="004F0773" w:rsidRDefault="004B6905" w:rsidP="004B690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proofErr w:type="gramStart"/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основная</w:t>
      </w:r>
      <w:proofErr w:type="gramEnd"/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тема)</w:t>
      </w:r>
    </w:p>
    <w:p w:rsidR="004B6905" w:rsidRPr="004F0773" w:rsidRDefault="004B6905" w:rsidP="004B690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6905" w:rsidRPr="004F0773" w:rsidRDefault="004B6905" w:rsidP="004B69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B6905" w:rsidRPr="004F0773" w:rsidRDefault="004B6905" w:rsidP="004B690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B6905" w:rsidRPr="004F0773" w:rsidRDefault="004B6905" w:rsidP="004B690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B6905" w:rsidRPr="004F0773" w:rsidRDefault="004B6905" w:rsidP="004B690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B6905" w:rsidRPr="004F0773" w:rsidRDefault="004B6905" w:rsidP="004B690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B6905" w:rsidRPr="004F0773" w:rsidRDefault="004B6905" w:rsidP="004B690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B6905" w:rsidRPr="004F0773" w:rsidRDefault="004B6905" w:rsidP="004B690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г.Могилеве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про «сад, джунгли и садовников».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B6905" w:rsidRPr="004F0773" w:rsidRDefault="004B6905" w:rsidP="004B69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  <w:proofErr w:type="spellEnd"/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– к одному из самых опасных явлений современности.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зачастую в социальных сетях «утки»,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B6905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12. 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«замыкание» ее на себя с тем, чтобы содержание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некоторое время стало навязчивой идеей, подчиняющей себе сознание и волю людей, попавших под его влияние.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Эмоциональные опоры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: кровь, крики, огонь, смерть, отвращение, мотивация к защите кого-то, чувство личной беспомощности.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От обычного вранья, клеветы или просто неточной информации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отличается следующими признаками: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proofErr w:type="gram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proofErr w:type="gram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фейку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-манипуляции;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proofErr w:type="gram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proofErr w:type="gram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</w:t>
      </w:r>
      <w:proofErr w:type="gram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25-ю зубами, которые якобы оставила на дубинке омоновца некая «изнасилованная Кристина» летом 2020 года.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украинская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картинно разложенными на тротуаре то ли трупами, то ли актерами.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B6905" w:rsidRPr="009C51CE" w:rsidRDefault="004B6905" w:rsidP="004B6905">
      <w:pPr>
        <w:pStyle w:val="a3"/>
        <w:numPr>
          <w:ilvl w:val="0"/>
          <w:numId w:val="1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</w:t>
      </w:r>
      <w:proofErr w:type="gram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 имена пользователей и пароли в безопасности;</w:t>
      </w:r>
    </w:p>
    <w:p w:rsidR="004B6905" w:rsidRPr="009C51CE" w:rsidRDefault="004B6905" w:rsidP="004B6905">
      <w:pPr>
        <w:pStyle w:val="a3"/>
        <w:numPr>
          <w:ilvl w:val="0"/>
          <w:numId w:val="1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</w:t>
      </w:r>
      <w:proofErr w:type="gram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 меняйте пароли;</w:t>
      </w:r>
    </w:p>
    <w:p w:rsidR="004B6905" w:rsidRPr="009C51CE" w:rsidRDefault="004B6905" w:rsidP="004B6905">
      <w:pPr>
        <w:pStyle w:val="a3"/>
        <w:numPr>
          <w:ilvl w:val="0"/>
          <w:numId w:val="1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</w:t>
      </w:r>
      <w:proofErr w:type="gram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B6905" w:rsidRPr="009C51CE" w:rsidRDefault="004B6905" w:rsidP="004B6905">
      <w:pPr>
        <w:pStyle w:val="a3"/>
        <w:numPr>
          <w:ilvl w:val="0"/>
          <w:numId w:val="1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будьте</w:t>
      </w:r>
      <w:proofErr w:type="gram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B6905" w:rsidRPr="009C51CE" w:rsidRDefault="004B6905" w:rsidP="004B6905">
      <w:pPr>
        <w:pStyle w:val="a3"/>
        <w:numPr>
          <w:ilvl w:val="0"/>
          <w:numId w:val="1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</w:t>
      </w:r>
      <w:proofErr w:type="gram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B6905" w:rsidRPr="009C51CE" w:rsidRDefault="004B6905" w:rsidP="004B6905">
      <w:pPr>
        <w:pStyle w:val="a3"/>
        <w:numPr>
          <w:ilvl w:val="0"/>
          <w:numId w:val="1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создайте</w:t>
      </w:r>
      <w:proofErr w:type="gram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родительский контроль;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антивирусные программы на всех устройствах;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расскажите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о существовании фальшивых рекламных объявлений; 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объясните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B6905" w:rsidRPr="00C3363F" w:rsidRDefault="004B6905" w:rsidP="004B6905">
      <w:pPr>
        <w:pStyle w:val="a3"/>
        <w:numPr>
          <w:ilvl w:val="0"/>
          <w:numId w:val="2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периодически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B6905" w:rsidRPr="00C3363F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Министерства внутренних дел Республики Беларусь по профилактике </w:t>
      </w:r>
      <w:proofErr w:type="spellStart"/>
      <w:r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киберпреступлений</w:t>
      </w:r>
      <w:proofErr w:type="spellEnd"/>
      <w:r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(аудио-, видеоролики, </w:t>
      </w:r>
      <w:proofErr w:type="spellStart"/>
      <w:r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инфографика</w:t>
      </w:r>
      <w:proofErr w:type="spellEnd"/>
      <w:r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, памятки) доступна для скачивания по ссылке на Яндекс-диске.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16. Информация МВД по профилактике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киберпреступлений</w:t>
      </w:r>
      <w:proofErr w:type="spellEnd"/>
    </w:p>
    <w:p w:rsidR="004B6905" w:rsidRPr="004F0773" w:rsidRDefault="004B6905" w:rsidP="004B690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B6905" w:rsidRPr="004F0773" w:rsidRDefault="004B6905" w:rsidP="004B69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ищут любые негативные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инфоповоды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B6905" w:rsidRPr="004F0773" w:rsidRDefault="004B6905" w:rsidP="004B690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</w:t>
      </w:r>
      <w:proofErr w:type="gramStart"/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–  на</w:t>
      </w:r>
      <w:proofErr w:type="gramEnd"/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15,9% (в 2021 году – 38,4%).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B6905" w:rsidRPr="004F0773" w:rsidRDefault="004B6905" w:rsidP="004B690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B6905" w:rsidRPr="004F0773" w:rsidRDefault="004B6905" w:rsidP="004B690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B6905" w:rsidRPr="004F0773" w:rsidRDefault="004B6905" w:rsidP="004B690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B6905" w:rsidRPr="004F0773" w:rsidRDefault="004B6905" w:rsidP="004B690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B6905" w:rsidRPr="004F0773" w:rsidRDefault="004B6905" w:rsidP="004B690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B6905" w:rsidRPr="004F0773" w:rsidRDefault="004B6905" w:rsidP="004B690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:rsidR="004B6905" w:rsidRPr="004F0773" w:rsidRDefault="004B6905" w:rsidP="004B690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B6905" w:rsidRPr="004F0773" w:rsidRDefault="004B6905" w:rsidP="004B690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, о которых мы говорим.</w:t>
      </w:r>
    </w:p>
    <w:p w:rsidR="004B6905" w:rsidRPr="004F0773" w:rsidRDefault="004B6905" w:rsidP="004B690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:rsidR="004B6905" w:rsidRPr="004F0773" w:rsidRDefault="004B6905" w:rsidP="004B690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 xml:space="preserve"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</w:t>
      </w: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lastRenderedPageBreak/>
        <w:t>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B6905" w:rsidRDefault="004B6905" w:rsidP="004B690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Давайте запомним несколько простых правил, как отличить правду от вымысла и не стать жертвой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B6905" w:rsidRPr="004F0773" w:rsidRDefault="004B6905" w:rsidP="004B690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</w:t>
      </w:r>
    </w:p>
    <w:p w:rsidR="004B6905" w:rsidRPr="00C3363F" w:rsidRDefault="004B6905" w:rsidP="004B69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прочитайте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всю новость, а не только заголовок; </w:t>
      </w:r>
    </w:p>
    <w:p w:rsidR="004B6905" w:rsidRPr="00C3363F" w:rsidRDefault="004B6905" w:rsidP="004B69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источник новости или статьи; </w:t>
      </w:r>
    </w:p>
    <w:p w:rsidR="004B6905" w:rsidRPr="00C3363F" w:rsidRDefault="004B6905" w:rsidP="004B69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первоисточники информации; </w:t>
      </w:r>
    </w:p>
    <w:p w:rsidR="004B6905" w:rsidRPr="00C3363F" w:rsidRDefault="004B6905" w:rsidP="004B69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автора материала; </w:t>
      </w:r>
    </w:p>
    <w:p w:rsidR="004B6905" w:rsidRPr="00C3363F" w:rsidRDefault="004B6905" w:rsidP="004B69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другие, альтернативные источники; </w:t>
      </w:r>
    </w:p>
    <w:p w:rsidR="004B6905" w:rsidRPr="00C3363F" w:rsidRDefault="004B6905" w:rsidP="004B69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новость в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посмотрите, кто ей поделился; 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B6905" w:rsidRPr="00C3363F" w:rsidRDefault="004B6905" w:rsidP="004B69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B6905" w:rsidRPr="00C3363F" w:rsidRDefault="004B6905" w:rsidP="004B69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френдах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» у вас могут быть как настоящие друзья, так и абсолютно незнакомые люди, от которых может идти непроверенная информация;</w:t>
      </w:r>
    </w:p>
    <w:p w:rsidR="004B6905" w:rsidRPr="00C3363F" w:rsidRDefault="004B6905" w:rsidP="004B69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репост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B6905" w:rsidRPr="00C3363F" w:rsidRDefault="004B6905" w:rsidP="004B69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</w:t>
      </w:r>
      <w:proofErr w:type="gramEnd"/>
      <w:r w:rsidRPr="00C3363F">
        <w:rPr>
          <w:rFonts w:ascii="Times New Roman" w:eastAsia="Calibri" w:hAnsi="Times New Roman" w:cs="Times New Roman"/>
          <w:sz w:val="30"/>
          <w:szCs w:val="30"/>
        </w:rPr>
        <w:t xml:space="preserve"> информационные ресурсы, которым можно и особенно которым нельзя верить.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B6905" w:rsidRPr="004F0773" w:rsidRDefault="004B6905" w:rsidP="004B690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B6905" w:rsidRPr="004F0773" w:rsidRDefault="004B6905" w:rsidP="004B690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за 6 месяцев 2024 г. – к 1 004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</w:t>
      </w:r>
    </w:p>
    <w:p w:rsidR="004B6905" w:rsidRPr="004F0773" w:rsidRDefault="004B6905" w:rsidP="004B690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B6905" w:rsidRPr="004F0773" w:rsidRDefault="004B6905" w:rsidP="004B690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Здесь всем нам помогает Министерство информации, которое принимает решения об ограничении доступа к отдельным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B6905" w:rsidRPr="004F0773" w:rsidRDefault="004B6905" w:rsidP="004B690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B6905" w:rsidRPr="004F0773" w:rsidRDefault="004B6905" w:rsidP="004B690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B6905" w:rsidRPr="00C3363F" w:rsidRDefault="004B6905" w:rsidP="004B6905">
      <w:pPr>
        <w:pStyle w:val="a3"/>
        <w:numPr>
          <w:ilvl w:val="0"/>
          <w:numId w:val="5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C3363F">
        <w:rPr>
          <w:rFonts w:ascii="Times New Roman" w:eastAsia="Calibri" w:hAnsi="Times New Roman" w:cs="Times New Roman"/>
          <w:sz w:val="30"/>
          <w:szCs w:val="30"/>
        </w:rPr>
        <w:t>создайте</w:t>
      </w:r>
      <w:proofErr w:type="gramEnd"/>
      <w:r w:rsidRPr="00C3363F">
        <w:rPr>
          <w:rFonts w:ascii="Times New Roman" w:eastAsia="Calibri" w:hAnsi="Times New Roman" w:cs="Times New Roman"/>
          <w:sz w:val="30"/>
          <w:szCs w:val="30"/>
        </w:rPr>
        <w:t xml:space="preserve">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B6905" w:rsidRPr="00C3363F" w:rsidRDefault="004B6905" w:rsidP="004B69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B6905" w:rsidRPr="00C3363F" w:rsidRDefault="004B6905" w:rsidP="004B69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B6905" w:rsidRPr="00C3363F" w:rsidRDefault="004B6905" w:rsidP="004B69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профильтруйте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свои подписки, отпишитесь от бесполезного контента, пользуйтесь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блокировщиками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рекламы, отключите на телефоне уведомления.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B6905" w:rsidRPr="004F0773" w:rsidRDefault="004B6905" w:rsidP="004B69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B6905" w:rsidRPr="00C3363F" w:rsidRDefault="004B6905" w:rsidP="004B690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B6905" w:rsidRPr="00C3363F" w:rsidRDefault="004B6905" w:rsidP="004B690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B6905" w:rsidRPr="00C3363F" w:rsidRDefault="004B6905" w:rsidP="004B690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</w:t>
      </w:r>
      <w:proofErr w:type="gramEnd"/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странице профиля у бота, как правило, отсутствуют личные данные;</w:t>
      </w:r>
    </w:p>
    <w:p w:rsidR="004B6905" w:rsidRPr="00C3363F" w:rsidRDefault="004B6905" w:rsidP="004B690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«друзьях» бота встречаются по большей части такие же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фейковые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:rsidR="004B6905" w:rsidRPr="00C3363F" w:rsidRDefault="004B6905" w:rsidP="004B690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B6905" w:rsidRPr="00C3363F" w:rsidRDefault="004B6905" w:rsidP="004B690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опечатки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B6905" w:rsidRPr="00C3363F" w:rsidRDefault="004B6905" w:rsidP="004B690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нашу любимую Беларусь и впредь не смогут «пошатнуть». </w:t>
      </w: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bookmarkStart w:id="0" w:name="_GoBack"/>
      <w:bookmarkEnd w:id="0"/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B6905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6905" w:rsidRPr="004F0773" w:rsidRDefault="004B6905" w:rsidP="004B690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на день, на два. А потом все это развеется. Поэтому не надо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фейков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D238A" w:rsidRDefault="006D238A"/>
    <w:sectPr w:rsidR="006D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5"/>
    <w:rsid w:val="004B6905"/>
    <w:rsid w:val="006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8EA4-79B3-4479-A742-92E27584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2024-08-12T11:31:00Z</dcterms:created>
  <dcterms:modified xsi:type="dcterms:W3CDTF">2024-08-12T11:32:00Z</dcterms:modified>
</cp:coreProperties>
</file>