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59" w:rsidRPr="00626381" w:rsidRDefault="00C53259" w:rsidP="00C532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СОЦИАЛЬНАЯ БЕЗОПАСНОСТЬ:</w:t>
      </w:r>
    </w:p>
    <w:p w:rsidR="00C53259" w:rsidRPr="00626381" w:rsidRDefault="00C53259" w:rsidP="00C532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ОСНОВНЫЕ ПРИНЦИПЫ И ПРИОРИТЕТЫ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C53259" w:rsidRPr="00626381" w:rsidRDefault="00C53259" w:rsidP="00C53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81">
        <w:rPr>
          <w:rFonts w:ascii="Times New Roman" w:hAnsi="Times New Roman" w:cs="Times New Roman"/>
          <w:i/>
          <w:iCs/>
          <w:sz w:val="24"/>
          <w:szCs w:val="24"/>
        </w:rPr>
        <w:t>Материал подготовлен Академией управления при Президенте Республики Беларусь на основе информации Министерства внутренних дел, Министерства здравоохранения, Министерства иностранных дел, Министерства образования, Министерства спорта и туризма,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24"/>
          <w:szCs w:val="24"/>
        </w:rPr>
        <w:t>Министерства труда и социальной защиты, Министерства финансов Республики Беларусь, Следственного комитета Республики Беларусь,</w:t>
      </w:r>
    </w:p>
    <w:p w:rsidR="00C53259" w:rsidRPr="00626381" w:rsidRDefault="00C53259" w:rsidP="00C53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81">
        <w:rPr>
          <w:rFonts w:ascii="Times New Roman" w:hAnsi="Times New Roman" w:cs="Times New Roman"/>
          <w:i/>
          <w:iCs/>
          <w:sz w:val="24"/>
          <w:szCs w:val="24"/>
        </w:rPr>
        <w:t>Генеральной прокуратуры Республики Беларусь, Национальной академии наук Беларуси, материалов агентства «</w:t>
      </w:r>
      <w:proofErr w:type="spellStart"/>
      <w:r w:rsidRPr="00626381">
        <w:rPr>
          <w:rFonts w:ascii="Times New Roman" w:hAnsi="Times New Roman" w:cs="Times New Roman"/>
          <w:i/>
          <w:iCs/>
          <w:sz w:val="24"/>
          <w:szCs w:val="24"/>
        </w:rPr>
        <w:t>БелТА</w:t>
      </w:r>
      <w:proofErr w:type="spellEnd"/>
      <w:r w:rsidRPr="00626381">
        <w:rPr>
          <w:rFonts w:ascii="Times New Roman" w:hAnsi="Times New Roman" w:cs="Times New Roman"/>
          <w:i/>
          <w:iCs/>
          <w:sz w:val="24"/>
          <w:szCs w:val="24"/>
        </w:rPr>
        <w:t>» и газеты «</w:t>
      </w:r>
      <w:proofErr w:type="spellStart"/>
      <w:r w:rsidRPr="00626381">
        <w:rPr>
          <w:rFonts w:ascii="Times New Roman" w:hAnsi="Times New Roman" w:cs="Times New Roman"/>
          <w:i/>
          <w:iCs/>
          <w:sz w:val="24"/>
          <w:szCs w:val="24"/>
        </w:rPr>
        <w:t>СБ.Беларусь</w:t>
      </w:r>
      <w:proofErr w:type="spellEnd"/>
      <w:r w:rsidRPr="00626381">
        <w:rPr>
          <w:rFonts w:ascii="Times New Roman" w:hAnsi="Times New Roman" w:cs="Times New Roman"/>
          <w:sz w:val="24"/>
          <w:szCs w:val="24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24"/>
          <w:szCs w:val="24"/>
        </w:rPr>
        <w:t>сегодня»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Обращаясь 28 января 2022 г. с Посланием к белорусскому народу и Национальному собранию,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Президент Республики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обозначил принципы социальной политики государства: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«Первый принцип 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справедливость</w:t>
      </w:r>
      <w:r w:rsidRPr="00626381">
        <w:rPr>
          <w:rFonts w:ascii="Times New Roman" w:hAnsi="Times New Roman" w:cs="Times New Roman"/>
          <w:sz w:val="30"/>
          <w:szCs w:val="30"/>
        </w:rPr>
        <w:t>…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Второй принцип 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ответственность</w:t>
      </w:r>
      <w:r w:rsidRPr="00626381">
        <w:rPr>
          <w:rFonts w:ascii="Times New Roman" w:hAnsi="Times New Roman" w:cs="Times New Roman"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Третий принцип 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забота</w:t>
      </w:r>
      <w:r w:rsidRPr="00626381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 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1. Глобальные вызовы и новые реалии мирового развития в социальной сфере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XXI веке человечество переживает период глубоких потрясений.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Реальной угрозой является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нарастание демографического дисбаланса и усиление общемирового тренда старения населения</w:t>
      </w:r>
      <w:r w:rsidRPr="00626381">
        <w:rPr>
          <w:rFonts w:ascii="Times New Roman" w:hAnsi="Times New Roman" w:cs="Times New Roman"/>
          <w:sz w:val="30"/>
          <w:szCs w:val="30"/>
        </w:rPr>
        <w:t>. По опубликованным в апреле 2023 г. данным ООН, «человечество достигло численности в 8 млрд. К 2050 году на Земле будут жить 9,7 млрд чел., а после 2070 года количество населения, скорее всего, начнет падать».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Наиболее быстро прирастает население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Африки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сегодня там проживает порядка 1,3 млрд чел. Предполагается, что к концу столетия на этом континенте население достигнет почти 4 млрд чел. (фактически половина современного человечества). При этом, по некоторым прогнозам, через 70 лет население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Китая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(сегодня в КНР проживает 1,4 млрд чел.) может сократиться до 800 млн чел.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По прогнозам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World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Population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Revive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к 2050 году количество жителей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Литвы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сократится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 22,1 %,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Латвии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на 21,6 %,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Эстонии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 12,7 %; предполагается, что в Латвии будет проживать 1,5 млн чел., а в Литве и Эстонии – соответственно 2,1 млн и 1,2 млн чел.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Негативный демографический тренд – уменьшение количества детей в семье.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мнению демографов, население перестает воспроизводиться при суммарном коэффициенте рождаемости в 2,15 условного ребенка на одну женщину фертильного возраста (с 19 до 45 лет).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Если в начале 1950-х гг. на каждую женщину в мире в среднем приходилось пять детей, то к концу 2020-х гг. – ожидается порядка двух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Как отмечают исследователи,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мы живем в эпоху имущественного расслоения – массовой концентрации богатства и беспрецедентного неравенства</w:t>
      </w:r>
      <w:r w:rsidRPr="00626381">
        <w:rPr>
          <w:rFonts w:ascii="Times New Roman" w:hAnsi="Times New Roman" w:cs="Times New Roman"/>
          <w:sz w:val="30"/>
          <w:szCs w:val="30"/>
        </w:rPr>
        <w:t>: 10 % самых богатых людей владеют 76 % всего богатства, в то время как беднейшие – всего 2 %.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Например, согласно данным Федерального статистического управления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 прошлом году почти 2,2 млн детей и молодых людей в возрасте до 18 лет оказались за чертой бедности (14,8 % молодежи).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Продолжают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сокращаться производственный потенциал мирового сельского хозяйства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компенсационные возможности природной среды.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сведениям американского Центра стратегических и международных исследований, «в середине 2020-х гг. мир может поразить волна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засухи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вызывая глобальный продовольственный и миграционный кризисы».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данным ООН, к 2050 году во многих странах мира произойдет существенное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сокращение урожайности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климатическим причинам.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Уже сегодня более 3 млрд жителей планеты не могут позволить себе здоровое питание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. Согласно опубликованным в июле 2023 г. данным ООН,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 2019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из-за пандемии, экстремальных погодных явлений и вооруженных конфликтов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число голодающих в мире увеличилось на 122 млн чел.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Беспрецедентная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пандемия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коронавирусной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инфекции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развитие мировой экономики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(снижение объемов производства, ограничение свободного движения товаров и рабочей силы)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Следствием глобальных вызовов является обострение социальных противоречий на европейском и других континентах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сентябре 2023 г.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Греции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проходила 24-часовая забастовка и массовые акции протеста (причина – резкое ужесточение трудового законодательства: продолжительность рабочего дня может достигнуть 13 часов, а рабочая неделя будет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длиться до 78 часов; при этом работодатель получает возможность увольнять сотрудников безо всяких объяснений и обязательств); в г.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Варшаве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бюджетники вышли на «марш гнева» против канцелярии премьер-министра с требованием повышения зарплат;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около 20 тыс. работников железной дороги устроили забастовку (с лета прошлого года это уже 24-я забастовка транспортников) и др.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последние годы во многих странах Европы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кризис доступного жилья сокращает доходы семей, углубляет неравенство, вредит здоровью детей, обедняет молодежь, приводит к росту бездомности.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оценкам Европейской федерации национальных организаций, работающих с бездомными (FEANTSA),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бездомных в Европе выросло до рекордных значений – практически 1 млн чел.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Хуже всего ситуация сложилась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ФРГ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там в 2022 году было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зарегистрировано 262,6 тыс. людей без крова.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Испании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тот же год – чуть более 28,5 тыс. чел.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Ирландии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число бездомных составило 11,6 тыс. чел.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Глобальные вызовы и угрозы учтены 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Социальная безопасность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 социальной сфере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381">
        <w:rPr>
          <w:rFonts w:ascii="Times New Roman" w:hAnsi="Times New Roman" w:cs="Times New Roman"/>
          <w:sz w:val="30"/>
          <w:szCs w:val="30"/>
        </w:rPr>
        <w:t>удовлетворение</w:t>
      </w:r>
      <w:proofErr w:type="gramEnd"/>
      <w:r w:rsidRPr="00626381">
        <w:rPr>
          <w:rFonts w:ascii="Times New Roman" w:hAnsi="Times New Roman" w:cs="Times New Roman"/>
          <w:sz w:val="30"/>
          <w:szCs w:val="30"/>
        </w:rPr>
        <w:t xml:space="preserve">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381">
        <w:rPr>
          <w:rFonts w:ascii="Times New Roman" w:hAnsi="Times New Roman" w:cs="Times New Roman"/>
          <w:sz w:val="30"/>
          <w:szCs w:val="30"/>
        </w:rPr>
        <w:lastRenderedPageBreak/>
        <w:t>обеспечение</w:t>
      </w:r>
      <w:proofErr w:type="gramEnd"/>
      <w:r w:rsidRPr="00626381">
        <w:rPr>
          <w:rFonts w:ascii="Times New Roman" w:hAnsi="Times New Roman" w:cs="Times New Roman"/>
          <w:sz w:val="30"/>
          <w:szCs w:val="30"/>
        </w:rPr>
        <w:t xml:space="preserve"> общественной безопасности и безопасности жизнедеятельности населения, снижение уровня преступности и криминализации общества;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381">
        <w:rPr>
          <w:rFonts w:ascii="Times New Roman" w:hAnsi="Times New Roman" w:cs="Times New Roman"/>
          <w:sz w:val="30"/>
          <w:szCs w:val="30"/>
        </w:rPr>
        <w:t>устойчивость</w:t>
      </w:r>
      <w:proofErr w:type="gramEnd"/>
      <w:r w:rsidRPr="00626381">
        <w:rPr>
          <w:rFonts w:ascii="Times New Roman" w:hAnsi="Times New Roman" w:cs="Times New Roman"/>
          <w:sz w:val="30"/>
          <w:szCs w:val="30"/>
        </w:rPr>
        <w:t xml:space="preserve"> рынка труда, минимизация безработицы и достойный уровень оплаты труда;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381">
        <w:rPr>
          <w:rFonts w:ascii="Times New Roman" w:hAnsi="Times New Roman" w:cs="Times New Roman"/>
          <w:sz w:val="30"/>
          <w:szCs w:val="30"/>
        </w:rPr>
        <w:t>развитие</w:t>
      </w:r>
      <w:proofErr w:type="gramEnd"/>
      <w:r w:rsidRPr="00626381">
        <w:rPr>
          <w:rFonts w:ascii="Times New Roman" w:hAnsi="Times New Roman" w:cs="Times New Roman"/>
          <w:sz w:val="30"/>
          <w:szCs w:val="30"/>
        </w:rPr>
        <w:t xml:space="preserve"> интеллектуального и духовно-нравственного потенциала общества, укрепление патриотизма.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2. Республика Беларусь – демократическое социальное правовое государство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На финансирование отраслей социальной сферы ежегодно направляется около 12 % ВВП.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Главная цель пятилетней программы на 2021–2025 годы 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актуальные приоритеты пятилетки</w:t>
      </w:r>
      <w:r w:rsidRPr="00626381">
        <w:rPr>
          <w:rFonts w:ascii="Times New Roman" w:hAnsi="Times New Roman" w:cs="Times New Roman"/>
          <w:sz w:val="30"/>
          <w:szCs w:val="30"/>
        </w:rPr>
        <w:t>: счастливая семья; сильные регионы; интеллектуальная среда; государство-партнер.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населения базовых социальных услуг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целом в Беларуси расходы консолидированного бюджета в 2023 году (по состоянию на 1 сентября 2023 г.)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 финансирование социальной сферы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предусмотрены в сумме 27,7 млрд рублей. Это составляет 42 % расходов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бюджета.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Наиболее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бюджетоемкие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расходы консолидированного бюджета составляют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здравоохранение и образование – по 4,8 % к ВВП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(10,5 млрд рублей) каждая сфера.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При этом принципиальным является то, что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задача государства 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3. Рост реальной заработной платы и иных доходов населения – основа благосостояния белорусских граждан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 1 января 2023 г. установлены дополнительные стимулирующие выплаты отдельным категориям работников образования, физической культуры и спорта, здравоохранения. С 1 сентября 2023 г. произведено увеличение заработной платы педагогических работников.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январь–июль 2023 г. номинальная начисленная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среднемесячная заработная плата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работников составила 1 816,9 рубля 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115 %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сравнению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 соответствующим периодом 2022 года, в том числе в июле – 1 933,1 рубля. 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семь месяцев 2023 г. по отношению к соответствующему периоду 2022 года составил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108,4 %,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июле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114,4 %.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 сравнения: за январь–июнь 2023 г. реальная заработная плата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составила 114,6 %,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Армении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114,7 %,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106,8 %,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Казахстане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100,2 %.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 мае и сентябре текущего года были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произведены перерасчеты трудовых пенсий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январе–сентябре 2023 г.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средний размер пенсии по возрасту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(неработающего пенсионера)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составил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692,3 рубля 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118 %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 аналогичному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периоду 2022 года, в сентябре – 736,6 рубля. 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январе–июле 2023 г. по отношению к аналогичному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периоду прошлого года составил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112,8 %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 июле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117,3 %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За январь–июль 2023 г. по отношению к соответствующему периоду 2022 года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реальный размер социальных выплат</w:t>
      </w:r>
      <w:r w:rsidRPr="00626381">
        <w:rPr>
          <w:rFonts w:ascii="Times New Roman" w:hAnsi="Times New Roman" w:cs="Times New Roman"/>
          <w:sz w:val="30"/>
          <w:szCs w:val="30"/>
        </w:rPr>
        <w:t>, установленных от бюджета прожиточного минимума в среднем на душу населения, составил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108,1 %</w:t>
      </w:r>
      <w:r w:rsidRPr="00626381">
        <w:rPr>
          <w:rFonts w:ascii="Times New Roman" w:hAnsi="Times New Roman" w:cs="Times New Roman"/>
          <w:sz w:val="30"/>
          <w:szCs w:val="30"/>
        </w:rPr>
        <w:t>, в июле 2023 г. –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110,2 %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малообеспеченных семей и граждан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реализуется программа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государственной адресной социальной помощи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(далее – ГАСП).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получателями ГАСП стали 273,4 тыс. чел. на сумму 133,5 млн рублей. За первое полугодие 2023 г. получателями ГАСП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стали 142,3 тыс. чел. на сумму 72,5 млн рублей.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Бесспорный приоритет социальной политики 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 ветеранах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Великой Отечественной войны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данным Минтруда и соцзащиты,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на 1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июля 2023 г. в республике проживало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1,4 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ветеранов Великой Отечественной войны,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7,3 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бывших узников фашизма.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В стране создана и эффективно работает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система социального обслуживания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(146 территориальных центров социального обслуживания населения и 91 дом-интернат для престарелых и инвалидов).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Наиболее востребованными являются социальные услуги на дому, а также в условиях дневного пребывания в учреждении социального обслуживания. На финансирование учреждений социального обслуживания из средств местных бюджетов ежегодно выделяются средства в размере порядка 500 млн рублей.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первом полугодии 2023 г. численность пожилых граждан и инвалидов, охваченных социальным обслуживанием, составила 161,4 тыс. чел. (10 % от численности инвалидов I 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II группы и неработающих пожилых граждан). Ежегодно, начиная с 2020 года, количество получателей социальных услуг увеличивается в среднем на 4 %.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Для организации участия пожилых людей в решении вопросов, затрагивающих их интересы, в каждом регионе созданы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советы пожилых граждан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При территориальных центрах социального обслуживания населения организованы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Впервые в 2023 году по инициативе Главы государства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прошла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республиканская благотворительная акция для пожилых «От всей души»</w:t>
      </w:r>
      <w:r w:rsidRPr="00626381">
        <w:rPr>
          <w:rFonts w:ascii="Times New Roman" w:hAnsi="Times New Roman" w:cs="Times New Roman"/>
          <w:sz w:val="30"/>
          <w:szCs w:val="30"/>
        </w:rPr>
        <w:t xml:space="preserve"> с активным участием молодежи и школьников.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 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об инвалидах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Инвалиды составляют 6 % от общей численности населения (более 0,5 млн чел.), из них почти 38 тыс. – дети-инвалиды.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С 6 января 2023 г. вступил в силу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Закон «О правах инвалидов и их социальной интеграции»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(далее – Закон), новации которого охватывают различные аспекты жизнедеятельности инвалидов. Значительные изменения коснулись вопроса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обеспечения граждан техническими средствами социальной реабилитации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Ежегодно в республике такими средствами обеспечиваются более 220 тыс. граждан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инвалидностью. На данные цели расходуется более 60 млн рублей.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4. Обеспечение эффективной занятости – залог достойного уровня жизни граждан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Большинство граждан Республики Беларусь реализуют свое конституционное право на труд и платят налоги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(статьи 41,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Конституции Республики Беларусь)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информации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Белстата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в экономике Беларуси в июне 2023 г. было занято 4,148 млн чел.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(принцип: «как поработал, так и заработал»)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рынок труда в стране стабилен и управляем, снижен уровень безработицы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результатам 2022 года уровень безработицы населения в трудоспособном возрасте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составил 3,6 %, в 2021 году – 3,8 %.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Уровень безработицы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населения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трудоспособном возрасте снижен с 3,7 % в первом полугодии 2022 г. до 3,4 % в первом полугодии 2023 г.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что является естественным уровнем для нашей экономики.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 сравнения: уровень безработицы в трудоспособном возрасте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составил 4,9 % (2022 год);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Армении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13,7 %;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Казахстане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4,8 %;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3,5 % (I квартал 2023 г.).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стадии реализации находится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Государственная программа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«Рынок труда и содействие занятости» на 2021–2025 годы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январе–июле 2023 г. в службу занятости за содействием в трудоустройстве обратилось 94,9 тыс. чел., из них зарегистрированы безработными 27,7 тыс. чел. В трудоустройстве нуждалось 102,8 тыс. чел., из них 32,3 тыс. безработных. Трудоустроено </w:t>
      </w:r>
      <w:proofErr w:type="gram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–  79</w:t>
      </w:r>
      <w:proofErr w:type="gram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,3 тыс. чел.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 рынке труда страны наблюдаются положительные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тенденции, которые характеризуются устойчивым ростом спроса на рабочую силу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информации Минтруда и соцзащиты, на 1 августа 2023 г. количество вакансий, заявленных нанимателями в органы по труду, занятости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социальной защите, составило 127,1 тыс. (по сравнению с 1 января 2023 г. выросло на 31,8 тыс. или на 33,4 %).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 В целях обеспечения занятости населения создан и эффективно осуществляет свою деятельность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Общереспубликанский банк вакансий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(внедрен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2007 году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целях информирования граждан, нуждающихся в трудоустройстве, о наличии вакансий)</w:t>
      </w:r>
      <w:r w:rsidRPr="00626381">
        <w:rPr>
          <w:rFonts w:ascii="Times New Roman" w:hAnsi="Times New Roman" w:cs="Times New Roman"/>
          <w:sz w:val="30"/>
          <w:szCs w:val="30"/>
        </w:rPr>
        <w:t xml:space="preserve">, размещенный на портале Государственной службы занятости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(https://gsz.gov.by/).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Наибольшим спросом пользуются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специалисты рабочих профессий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 – порядка 65 % от общего числа вакансий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(82,1 тыс. заявленных вакансий).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обучение безработных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осуществляется более чем по 100 учебным программам в разрезе рабочих профессий, востребованных на рынке труда. Более 80 % безработных обучаются «под заказ» нанимателя с гарантией последующего трудоустройства.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Человек должен быть заинтересован в собственном продуктивном труде</w:t>
      </w:r>
      <w:r w:rsidRPr="00626381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 – то есть залогом благополучия.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5. Крепкая семья – залог стабильности нашего общества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«Культ полноценной семьи с двумя и более детьми должен быть стилем жизни белорусов. 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 w:rsidRPr="00626381">
        <w:rPr>
          <w:rFonts w:ascii="Times New Roman" w:hAnsi="Times New Roman" w:cs="Times New Roman"/>
          <w:sz w:val="30"/>
          <w:szCs w:val="30"/>
        </w:rPr>
        <w:t xml:space="preserve"> – подчеркнул белорусский лидер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26381">
        <w:rPr>
          <w:rFonts w:ascii="Times New Roman" w:hAnsi="Times New Roman" w:cs="Times New Roman"/>
          <w:sz w:val="30"/>
          <w:szCs w:val="30"/>
        </w:rPr>
        <w:t>31 марта 2023 г. в Послании к белорусскому народу и Парламенту.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году в США насчитывалось более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1,2 млн однополых семей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(в 2008 году – 540 тыс. семей подобного рода). В 2020 году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проживали более 150 тыс. гомосексуальных пар (в два раза больше, чем десять лет назад).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Результатом «гендерной идеологии»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стало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двукратное уменьшение в США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последние 60 лет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численности детей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расчете на одну семью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 3,62 ребенка в 1960 году до 1,73 в 2018 году), что ярко свидетельствует о кризисе репродукционной функции института семьи.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В США насчитывается около 11 млн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неполных семей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 По прогнозам федерального статистического ведомства ФРГ, к 2040 году каждый четвертый житель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будет жить один.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ст. 32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Только один пример. В текущем году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дважды повышены пособия семьям, воспитывающим детей в возрасте до 3-х лет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Среднемесячный размер пособия по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уходу за ребенком в возрасте до 3 лет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январе–сентябре 2023 г. составил 654,1 рубля 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113,4 %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сравнению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 соответствующим периодом 2022 года, в том числе в сентябре – 697,9 рубля.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данного пособия за семь месяцев 2023 г. по сравнению с соответствующим периодом 2022 года составил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105,8 %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 июле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109,3 %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Вниманию выступающих: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вопросы комплексной системы поддержки семей рассмотрены в материале к ЕДИ в июле 2023 г. по теме «Демографическая безопасность – основа процветания общества, главное условие развития государства»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семьи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(15 мая),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матери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(14 октября),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отца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(21 октября). Празднуя День отца через неделю после Дня матери, тем самым демонстрируется значимость для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>белорусского государства целостности семьи и ценностные ориентиры страны.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Согласно результатам исследования, проведенного в апреле 2023 г. Институтом социологии НАН Беларуси, у белорусов среди ценностей лидирующие позиции традиционно занимают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здоровье (84,9 %)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семья (73,0 %) и дети (68,1 %)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6. Укрепление общественного здоровья – одно из главных условий сохранения нации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Республике Беларусь функционируют 15 республиканских научно-практических центров; 540 больничных организаций, 921 амбулаторно-поликлиническая организация; 146 организаций санитарно-эпидемиологической службы; 1 875 государственных аптек. В стране насчитывается 66 диспансеров, оказывающих медицинскую помощь в амбулаторных и стационарных условиях.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введены в строй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29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объектов здравоохранения, в 2023 году планируется к вводу еще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37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объектов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Развивается добровольное медицинское страхование с сохранением бюджетного финансирования здравоохранения.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мире существуют разные модели систем здравоохранения. Например,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преимущественно государственная;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Франции, Голландии, Австрии, Бельгии, Швейцарии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страховая;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США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частная. Практически ни в одной из достаточно развитых стран указанные системы не представлены в чистом виде.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Свидетельством высокого уровня медицины в Беларуси служат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страны, к которым относятся: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100 %-я доступность первичной, скорой медицинской помощи;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381">
        <w:rPr>
          <w:rFonts w:ascii="Times New Roman" w:hAnsi="Times New Roman" w:cs="Times New Roman"/>
          <w:sz w:val="30"/>
          <w:szCs w:val="30"/>
        </w:rPr>
        <w:t>развитие</w:t>
      </w:r>
      <w:proofErr w:type="gramEnd"/>
      <w:r w:rsidRPr="00626381">
        <w:rPr>
          <w:rFonts w:ascii="Times New Roman" w:hAnsi="Times New Roman" w:cs="Times New Roman"/>
          <w:sz w:val="30"/>
          <w:szCs w:val="30"/>
        </w:rPr>
        <w:t xml:space="preserve"> высокотехнологичной медицинской помощи;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626381">
        <w:rPr>
          <w:rFonts w:ascii="Times New Roman" w:hAnsi="Times New Roman" w:cs="Times New Roman"/>
          <w:sz w:val="30"/>
          <w:szCs w:val="30"/>
        </w:rPr>
        <w:t>практикоориентированное</w:t>
      </w:r>
      <w:proofErr w:type="spellEnd"/>
      <w:proofErr w:type="gramEnd"/>
      <w:r w:rsidRPr="00626381">
        <w:rPr>
          <w:rFonts w:ascii="Times New Roman" w:hAnsi="Times New Roman" w:cs="Times New Roman"/>
          <w:sz w:val="30"/>
          <w:szCs w:val="30"/>
        </w:rPr>
        <w:t xml:space="preserve"> образование;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381">
        <w:rPr>
          <w:rFonts w:ascii="Times New Roman" w:hAnsi="Times New Roman" w:cs="Times New Roman"/>
          <w:sz w:val="30"/>
          <w:szCs w:val="30"/>
        </w:rPr>
        <w:t>законодательно</w:t>
      </w:r>
      <w:proofErr w:type="gramEnd"/>
      <w:r w:rsidRPr="00626381">
        <w:rPr>
          <w:rFonts w:ascii="Times New Roman" w:hAnsi="Times New Roman" w:cs="Times New Roman"/>
          <w:sz w:val="30"/>
          <w:szCs w:val="30"/>
        </w:rPr>
        <w:t xml:space="preserve"> закрепленный приоритет оказания медицинской помощи матерям и детям,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разноуровневая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система ее оказания.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В индексе глобальной безопасности здоровья (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Global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Health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Security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Index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GHS)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2021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занимает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63 место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из 195 стран с индексом 43,9 балла (в 2019 году – 108 место; 35,3 балла).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68,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Республика Кипр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70,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Объединенные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Арабские Эмираты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80,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Узбекистан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82,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83,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Азербайджан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100,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Монако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112,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Таджикистан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140.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лекарственные препараты проходят испытания на безопасность, эффективность и качество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состоянию на 1 сентября 2023 г. зарегистрировано 4 355 лекарственных препаратов (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1 826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отечественного производства, 2 529 – зарубежного)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 7 являются оригинальными разработками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Эноксапарин-Белмед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Иммуноглобулин человека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антирезус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анти-D,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Иммунофарм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Эфлейра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Алюфер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Фортека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вакцина Гам-КОВИД-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Вак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и 3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Адалимаб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Ринсулин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НПХ,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Ринсулин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Отечественный аналог комбинированного жидкого антибактериального лекарственного препарата амоксициллина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клавулановой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кислотой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Аугмеклав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успешно заместил более 20 % импорта за два года присутствия на рынке.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Одним из впечатляющих примеров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импортозамещения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является освоение лекарственного препарата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Хлорофиллипт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заменившего ушедшего с рынка украинского производителя. Препарат не имеет аналогов.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Для отдельных категорий граждан предусмотрено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перевязочными материалами.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Минздравом в 2022 году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626381">
        <w:rPr>
          <w:rFonts w:ascii="Times New Roman" w:hAnsi="Times New Roman" w:cs="Times New Roman"/>
          <w:sz w:val="30"/>
          <w:szCs w:val="30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Медицинская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профилактика – ключевой элемент сохранения и укрепления здоровья населения</w:t>
      </w:r>
      <w:r w:rsidRPr="00626381">
        <w:rPr>
          <w:rFonts w:ascii="Times New Roman" w:hAnsi="Times New Roman" w:cs="Times New Roman"/>
          <w:sz w:val="30"/>
          <w:szCs w:val="30"/>
        </w:rPr>
        <w:t>. Проводится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 обеспечения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физкультурно-оздоровительной работы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 населением по месту жительства в республике функционирует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144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городских, районных физкультурно-оздоровительных, спортивных центра, физкультурно-спортивных клуба, в которых создано более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2,7 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спортивных групп и секций.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первом полугодии 2023 г. состоялось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626381">
        <w:rPr>
          <w:rFonts w:ascii="Times New Roman" w:hAnsi="Times New Roman" w:cs="Times New Roman"/>
          <w:sz w:val="30"/>
          <w:szCs w:val="30"/>
        </w:rPr>
        <w:t xml:space="preserve"> республиканских спортивно-массовых мероприятия с участием около 35 тыс. чел. (в том числе более 3,6 тыс. детей и подростков).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Среди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значимых республиканских спортивно-массовых мероприятий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: республиканские соревнования среди детей и подростков по хоккею «Золотая шайба» на призы Президента Республики Беларусь, XVI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 собственном здоровье – это личный выбор и ответственность каждого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7. Развитие интеллектуального и духовно-нравственного потенциала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белорусского общества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Наша страна благодаря взвешенной социальной политике располагает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значительным человеческим капиталом</w:t>
      </w:r>
      <w:r w:rsidRPr="00626381">
        <w:rPr>
          <w:rFonts w:ascii="Times New Roman" w:hAnsi="Times New Roman" w:cs="Times New Roman"/>
          <w:sz w:val="30"/>
          <w:szCs w:val="30"/>
        </w:rPr>
        <w:t>. Ключевой инструмент трансформации демографического потенциала в человеческий капитал – национальная система образования.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образование обеспечивается на всех уровнях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Беларуси функционируют свыше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 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учреждений образования, в которых обучаются и воспитываются около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1,7 млн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чел. Обучение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воспитание обеспечивают около 422 тыс. работников системы образования.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 населения Беларусь относится к развитым странам: уровень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грамотности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взрослого населения составляет 99,7 %, охват базового, общим средним и профессиональным образованием занятого населения – 98 %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C53259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Беларусь по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индексу человеческого развития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(далее – ИЧР) находится на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60-й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позиции из 191,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оставаясь в группе с самым высоким уровнем развития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демонстрируя прогресс как по некоторым компонентам ИЧР (индекс ВВП), так и по дополнительным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индексам (индекс неравенства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индекс гендерного равенства).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(52),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Грузия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(63),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Болгария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(68),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(77),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Китай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(79),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Азербайджан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(91),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Индия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(132).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Важнейший элемент системы государственной поддержки интеллектуального будущего нашей страны 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 1996 года по линии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спецфонда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поддержке талантливой молодежи поощрения получили 4518 граждан и 359 коллективов.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 1996 года фонд социальной поддержке одаренных учащихся и студентов принял решения о поощрении 41 943 учащихся и студента, 4 066 педагогических и научных работников.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62638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Вопросы совершенствования образовательной сферы находятся на особом контроле Главы государства, о чем свидетельствуют состоявшиеся совещания 18 августа и 21 сентября 2023 г.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«Школа – это храм, и в этом весь сакральный смысл образовательного процесса»</w:t>
      </w:r>
      <w:r w:rsidRPr="00626381">
        <w:rPr>
          <w:rFonts w:ascii="Times New Roman" w:hAnsi="Times New Roman" w:cs="Times New Roman"/>
          <w:sz w:val="30"/>
          <w:szCs w:val="30"/>
        </w:rPr>
        <w:t xml:space="preserve">, – заявил Президент Беларуси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, акцентируя внимание на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том, что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 Школа закладывает фундамент будущего не просто гражданина – человека»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Преданность Отечеству нужно доказывать своими поступками. Активную гражданскую позицию выражать через конкретные созидательные дела</w:t>
      </w:r>
      <w:r w:rsidRPr="00626381">
        <w:rPr>
          <w:rFonts w:ascii="Times New Roman" w:hAnsi="Times New Roman" w:cs="Times New Roman"/>
          <w:sz w:val="30"/>
          <w:szCs w:val="30"/>
        </w:rPr>
        <w:t>. При этом всегда давать нравственную самооценку своим действиям.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8. Обеспечение правопорядка – важное условие общественной стабильности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На совещании об общественно-политической обстановке и состоянии преступности в стране 24 января 2023 г.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Глава государства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«Защита законных прав и интересов наших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людей – это главное</w:t>
      </w:r>
      <w:r w:rsidRPr="00626381">
        <w:rPr>
          <w:rFonts w:ascii="Times New Roman" w:hAnsi="Times New Roman" w:cs="Times New Roman"/>
          <w:sz w:val="30"/>
          <w:szCs w:val="30"/>
        </w:rPr>
        <w:t xml:space="preserve">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Мы мало внимания обращаем в последнее время на эту проблему… Пусть это по сравнению с другими государствами, даже самыми демократичными в мире, капля в море. Но, тем не менее,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 этом нельзя забывать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рейтинге уровня преступности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Crime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Index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by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Country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) по итогам 2022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занимает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34 место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среди 142 стран участников.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Франция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36,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48,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США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55,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Швеция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58,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Великобритания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65,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68.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По информации МВД, в стране за 2021 – первую половину 2023 г. наблюдается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положительная динамика преступности и криминализации общества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Общее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число зарегистрированных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первом полугодии 2023 г. преступлений отмечается ниже уровня аналогичного периода прошлого 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(далее – АППГ)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2,7 %.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Снижение наблюдается практически во всех регионах, за исключением Витебской области и г. Минска.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целом по республике на 14,7 % уменьшилось количество особо тяжких, на 2 % менее тяжких и на 4,7 % не представляющих большой общественной опасности уголовно наказуемых деяний.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По итогам первого полугодия 2023 г.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оперативная обстановка в подростковой среде характеризуется поступательным снижением числа совершенных преступлений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В сравнении с АППГ, количество преступлений, совершенных несовершеннолетними или с их участием, уменьшилось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 8,2 %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 Данная положительная тенденция характерна практически для всех регионов, за исключением Гомельской области 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 Минска. Отмечено снижение на 12,9 % числа совершенных подростками особо тяжких уголовно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наказуемых деяний.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Общая деградация личности в результате приема наркотиков наступает в 10–15 раз быстрее, чем от алкоголя. До среднего возраста наркоманы чаще всего не доживают, умирая от передозировки, различных сопутствующих заболеваний или заканчивая самоубийством. При этом страдают и те, кто находится с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наркопотребителями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рядом (родственники, друзья, близкие) и ведут здоровый образ жизни.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зарегистрировано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600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фактов передозировки наркотиков (19 допущено несовершеннолетними), в результате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отравления наркотиками погибло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73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человека (63 мужчины и 10 женщин). За 6 месяцев 2023 г.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270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фактов передозировки (1 допущена несовершеннолетними), погибло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34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человека (30 мужчин и 4 женщины).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По подсчетам экспертов, потребитель наркотиков в течение своей жизни вовлекает в употребление наркотических средств и психотропных веществ от 5 до 17 человек. 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 – это обогащение за счет судеб, жизней и здоровья молодых и наивных людей.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 109 несовершеннолетних лиц совершили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141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преступление в сфере незаконного оборота наркотиков. За 6 месяцев 2023 г. – 40 несовершеннолетних лиц совершили 33 преступления. Большинство относятся к категории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особо тяжких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это от 6 до 20 лет лишения свободы (части 3 – 4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статьи 328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УК).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ОВД совместно с заинтересованными проводится работа по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вовлечению лиц, страдающих алкоголизмом, наркоманией, токсикоманией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зависимостью от других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веществ,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 общественную жизнь</w:t>
      </w:r>
      <w:r w:rsidRPr="00626381">
        <w:rPr>
          <w:rFonts w:ascii="Times New Roman" w:hAnsi="Times New Roman" w:cs="Times New Roman"/>
          <w:sz w:val="30"/>
          <w:szCs w:val="30"/>
        </w:rPr>
        <w:t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По итогам шести месяцев 2023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количество преступлений, совершенных лицами в состоянии алкогольного опьянения, уменьшилось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(-8,0 %; с 7 723 до 7 103). Также снизился на 0,9 % (с 31,5 % до 30,6 %) удельный вес преступлений, совершенных лицами в состоянии алкогольного опьянения, от их общего числа.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Как отметил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Президент Республики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еще 29 октября 2019 г. на состоявшемся на совещании по вопросам противодействия распространению наркотиков и профилактике наркомании,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«самый эффективный барьер на пути распространения наркотиков – это их тотальное непринятие обществом. Не будет спроса, не будет и предложений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Нам этого нужно добиваться»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в республике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зарегистрировано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1 328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уголовных дел о коррупционных преступлениях, что на 26,6 % больше, чем в 2021 году (1 049). В первом полугодии 2023 г. зарегистрировано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638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уголовных дел о коррупционных преступлениях, что составило 1,5 % от общего числа возбужденных уголовных дел о всех преступлениях (41 208).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структуре коррупционной преступности традиционно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Следственным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комитетом Республики Беларусь в 2021–2022 годах и первом полугодии 2023 г.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расследовано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3 370 уголовных дел о коррупционных преступлениях (2021 год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1 285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дел, 2022 год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1 710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первое полугодие текущего года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375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).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Сумма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причиненного совершением коррупционных преступлений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ущерба (вреда)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оконченным в рассматриваемые два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половиной года делам составила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49,6 млн рублей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На протяжении последних лет в Республике Беларусь (как и во всем мире) наблюдался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рост количества регистрируемых преступлений, совершаемых с использованием информационно-коммуникационных технологий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(далее – ИКТ).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нашей стране ситуацию удалось изменить в 2021 году, а в 2022 году закрепить положительную динамику снижения числа регистрируемых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киберпреступлений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. Однако, по данным МВД, в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>феврале–марте 2023 г., по причине так называемых «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фишинговых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атак»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(имитируют работу официальных сайтов банковских учреждений)</w:t>
      </w:r>
      <w:r w:rsidRPr="00626381">
        <w:rPr>
          <w:rFonts w:ascii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 29,4 %).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киберпреступлений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кибербезопасности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государственного и частного секторов.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оперативная обстановка, складывающая в Республике Беларусь, остается стабильной, а применяемая стратегия выявления криминогенных рисков и угроз общественной безопасности соответствует современным реалиям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C53259" w:rsidRPr="00626381" w:rsidRDefault="00C53259" w:rsidP="00C532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****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Социально ориентированная политика нашей страны – эталон реальной заботы о своих гражданах для многих государств.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Глава государства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 30 июня 2023 г. на торжественном собрании в честь Дня Независимости,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C53259" w:rsidRPr="00626381" w:rsidRDefault="00C53259" w:rsidP="00C532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ориентиром в работе с населением определен постепенный переход от патерналистской модели к поддерживающей</w:t>
      </w:r>
      <w:r w:rsidRPr="00626381">
        <w:rPr>
          <w:rFonts w:ascii="Times New Roman" w:hAnsi="Times New Roman" w:cs="Times New Roman"/>
          <w:sz w:val="30"/>
          <w:szCs w:val="30"/>
        </w:rPr>
        <w:t>, 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</w:p>
    <w:p w:rsidR="00C53259" w:rsidRDefault="00C53259" w:rsidP="00C532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D786D" w:rsidRDefault="007D786D">
      <w:bookmarkStart w:id="0" w:name="_GoBack"/>
      <w:bookmarkEnd w:id="0"/>
    </w:p>
    <w:sectPr w:rsidR="007D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59"/>
    <w:rsid w:val="007D786D"/>
    <w:rsid w:val="00C5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D17D-E4D2-4CA0-AAF2-B4105945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3259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2023-10-16T07:31:00Z</dcterms:created>
  <dcterms:modified xsi:type="dcterms:W3CDTF">2023-10-16T07:31:00Z</dcterms:modified>
</cp:coreProperties>
</file>