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В СООТВЕТСТВИИ СО СТАТЬЕЙ 3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ЗАКОНА РЕСПУБЛИКИ БЕЛАРУСЬ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«ОБ ОБРАЩЕНИЯХ ГРАЖДАН И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ЮРИДИЧЕСКИХ ЛИЦ»</w:t>
      </w:r>
    </w:p>
    <w:p w:rsidR="00D24DDD" w:rsidRPr="00D24DDD" w:rsidRDefault="00D24DDD" w:rsidP="00D24DDD">
      <w:pPr>
        <w:tabs>
          <w:tab w:val="left" w:pos="2250"/>
        </w:tabs>
        <w:jc w:val="both"/>
        <w:rPr>
          <w:sz w:val="30"/>
          <w:szCs w:val="30"/>
        </w:rPr>
      </w:pPr>
      <w:r w:rsidRPr="00D24DDD">
        <w:rPr>
          <w:sz w:val="30"/>
          <w:szCs w:val="30"/>
        </w:rPr>
        <w:tab/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1. Граждане Республики Беларусь реализуют право на обращение путем подачи (внесения):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электронных обращений в государственные органы и иные государственные 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Юридические лица Республики Беларусь, индивидуальные предприниматели реализуют право на обращение путем подачи: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электронных обращений в государственные органы и иные государственные организации.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О ПОРЯДКЕ ОБЖАЛОВАНИЯ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ДЕЙСТВИЙ ДОЛЖНОСТНЫХ ЛИЦ</w:t>
      </w:r>
    </w:p>
    <w:p w:rsidR="00D24DDD" w:rsidRPr="00D24DDD" w:rsidRDefault="00020328" w:rsidP="00D24DD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СВЕНСКОГО</w:t>
      </w:r>
      <w:r w:rsidR="00D24DDD" w:rsidRPr="00D24DDD">
        <w:rPr>
          <w:b/>
          <w:sz w:val="30"/>
          <w:szCs w:val="30"/>
        </w:rPr>
        <w:t xml:space="preserve"> СЕЛЬСКОГО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СОВЕТА ДЕПУТАТОВ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В соответствии со статьями 7, 20 Закона Республики Беларусь «Об обращениях граждан и юридических лиц» и третьим абзацем пункта 2 Указа Президента Республики Беларусь № 498 от 15.10.2007 г. «О дополнительных мерах по работе с обращениями граждан и юридических лиц»: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lastRenderedPageBreak/>
        <w:t xml:space="preserve"> - решение </w:t>
      </w:r>
      <w:proofErr w:type="spellStart"/>
      <w:r w:rsidR="00020328">
        <w:rPr>
          <w:sz w:val="30"/>
          <w:szCs w:val="30"/>
        </w:rPr>
        <w:t>Свенского</w:t>
      </w:r>
      <w:bookmarkStart w:id="0" w:name="_GoBack"/>
      <w:bookmarkEnd w:id="0"/>
      <w:proofErr w:type="spellEnd"/>
      <w:r w:rsidRPr="00D24DDD">
        <w:rPr>
          <w:sz w:val="30"/>
          <w:szCs w:val="30"/>
        </w:rPr>
        <w:t xml:space="preserve"> сельского Совета депутатов по обращению может быть обжаловано в </w:t>
      </w:r>
      <w:proofErr w:type="spellStart"/>
      <w:r w:rsidRPr="00D24DDD">
        <w:rPr>
          <w:sz w:val="30"/>
          <w:szCs w:val="30"/>
        </w:rPr>
        <w:t>Славгородском</w:t>
      </w:r>
      <w:proofErr w:type="spellEnd"/>
      <w:r w:rsidRPr="00D24DDD">
        <w:rPr>
          <w:sz w:val="30"/>
          <w:szCs w:val="30"/>
        </w:rPr>
        <w:t xml:space="preserve"> районном Совете депутатов, по адресу: 213245, г. Славгород, ул. Октябрьская, 3.</w:t>
      </w:r>
    </w:p>
    <w:p w:rsidR="00D24DDD" w:rsidRPr="00D24DDD" w:rsidRDefault="00D24DDD" w:rsidP="00D24DDD">
      <w:pPr>
        <w:jc w:val="center"/>
        <w:rPr>
          <w:bCs/>
          <w:iCs/>
          <w:sz w:val="52"/>
          <w:szCs w:val="52"/>
        </w:rPr>
      </w:pPr>
    </w:p>
    <w:p w:rsidR="00D24DDD" w:rsidRPr="00D24DDD" w:rsidRDefault="00D24DDD" w:rsidP="00D24DD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541" w:rsidRDefault="00401541" w:rsidP="00D24DDD">
      <w:pPr>
        <w:tabs>
          <w:tab w:val="left" w:pos="2250"/>
        </w:tabs>
        <w:jc w:val="both"/>
        <w:rPr>
          <w:bCs/>
          <w:iCs/>
          <w:sz w:val="52"/>
          <w:szCs w:val="52"/>
        </w:rPr>
      </w:pPr>
    </w:p>
    <w:sectPr w:rsidR="004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41"/>
    <w:rsid w:val="00020328"/>
    <w:rsid w:val="00377F30"/>
    <w:rsid w:val="003D00DF"/>
    <w:rsid w:val="00401541"/>
    <w:rsid w:val="00AB54EE"/>
    <w:rsid w:val="00D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0DE0"/>
  <w15:docId w15:val="{997433F2-A65D-481F-B69B-8F06B47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Авдеенко Ольга Ивановна</cp:lastModifiedBy>
  <cp:revision>2</cp:revision>
  <dcterms:created xsi:type="dcterms:W3CDTF">2025-03-03T11:48:00Z</dcterms:created>
  <dcterms:modified xsi:type="dcterms:W3CDTF">2025-03-03T11:48:00Z</dcterms:modified>
</cp:coreProperties>
</file>